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Социально-коммуникативное развитие.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Направление : “Обучающие игры и игровые технологии как средство развития социально-эмоциональной сферы дошкольников”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Коммуникативные игры предполагают совместную деятельность, самовыражение и взаимное сотрудничество, развитие навыков общения и формирование доброжелательных отношений. В процессе этих игр ребенок переживает неподдельную радость вместе с другими детьми, в 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оследствии это ведет к оптимизму и умению ладить с другими людьми.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этом направлении используются дидактические игры, сюжетно-ролевые игры и хороводные игры, игры драматизации и упражнения на развитие эмоциональной сферы для налаживания общения друг с другом и развития коммуникативных навыков.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Хороводные игры: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“Ау”, “Раздувайся, пузырь”.</w:t>
      </w:r>
      <w:r>
        <w:rPr>
          <w:rFonts w:ascii="Times New Roman" w:hAnsi="Times New Roman" w:eastAsia="Times New Roman" w:cs="Times New Roman"/>
          <w:color w:val="333333"/>
          <w:sz w:val="24"/>
        </w:rPr>
        <w:t xml:space="preserve"> Хороводные игры — это одна из форм народного творчества, которая объединяет в себе народный танец, музыкальный фольклор, элементы народного театра и поэтическое творчество.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4"/>
        </w:rPr>
        <w:t xml:space="preserve">Они способствуют: </w:t>
      </w:r>
      <w:r/>
    </w:p>
    <w:p>
      <w:pPr>
        <w:pStyle w:val="834"/>
        <w:numPr>
          <w:ilvl w:val="0"/>
          <w:numId w:val="1"/>
        </w:numPr>
        <w:ind w:right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4"/>
        </w:rPr>
        <w:t xml:space="preserve">усвоению ребёнком различных форм коммуникации: вербальной (через речь), невербальной (через жесты, мимику, дистанции, позиции общения, позы) и паралингвистической (тембр, темп голоса, интонация, паузы и т. д.); </w:t>
      </w:r>
      <w:r/>
    </w:p>
    <w:p>
      <w:pPr>
        <w:pStyle w:val="834"/>
        <w:numPr>
          <w:ilvl w:val="0"/>
          <w:numId w:val="1"/>
        </w:numPr>
        <w:ind w:right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4"/>
        </w:rPr>
        <w:t xml:space="preserve">формированию пространственно-временного восприятия; </w:t>
      </w:r>
      <w:r/>
    </w:p>
    <w:p>
      <w:pPr>
        <w:pStyle w:val="834"/>
        <w:numPr>
          <w:ilvl w:val="0"/>
          <w:numId w:val="1"/>
        </w:numPr>
        <w:ind w:right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333333"/>
          <w:sz w:val="24"/>
        </w:rPr>
        <w:t xml:space="preserve">развитию речевой активности.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Игры- драматизации: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“Репка”, “Колобок”.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Такие игры создают условия для социализации, усиливая адаптационные способности, корректируют коммуникативные качества, приносят чувства радости.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Дидактические игры: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“Хорошо-плохо”, “Какое у меня настроение?” “Комплементы”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-Целью является развитие коммуникативных умений, навыков сотрудничества с другими детьми и взрослыми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Игровые упражнения: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“Назови ласково” “Передай игрушку”, “Что случилось?”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Сюжетно-ролевые игры: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“Семья”, “В поликлинике”, “Пожарные тушат дом”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В сюжетно- ролевых играх происходит развитие коммуникативных навыков, развитие диалогической речи, а также знакомство с окружающим миром и социальной действительностью.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Задачи воспитателя в процессе развития социально-коммуникативных навыков: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1.Развивать у детей умение вступать в речевой контакт и активно в нем участвовать.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Познакомить детей с элементарными общепринятыми нормами и правилами поведения в социуме. </w:t>
      </w:r>
      <w:r/>
    </w:p>
    <w:p>
      <w:pPr>
        <w:ind w:left="0" w:right="0" w:firstLine="0"/>
        <w:spacing w:before="0" w:after="1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3.Развивать эмоционально-ценностное восприятие окружающего мира. 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333333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333333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333333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333333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333333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333333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333333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333333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333333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Irina Ryshkova</cp:lastModifiedBy>
  <cp:revision>2</cp:revision>
  <dcterms:modified xsi:type="dcterms:W3CDTF">2024-04-30T11:26:51Z</dcterms:modified>
</cp:coreProperties>
</file>